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2E" w:rsidRPr="00F2792E" w:rsidRDefault="00F2792E" w:rsidP="00F2792E">
      <w:pPr>
        <w:shd w:val="clear" w:color="auto" w:fill="FFFFFF"/>
        <w:spacing w:before="60" w:after="0" w:line="336" w:lineRule="atLeast"/>
        <w:outlineLvl w:val="2"/>
        <w:rPr>
          <w:rFonts w:ascii="Verdana" w:eastAsia="Times New Roman" w:hAnsi="Verdana" w:cs="Times New Roman"/>
          <w:color w:val="59A3C1"/>
          <w:sz w:val="27"/>
          <w:szCs w:val="27"/>
          <w:lang w:eastAsia="ru-RU"/>
        </w:rPr>
      </w:pPr>
      <w:r w:rsidRPr="00F2792E">
        <w:rPr>
          <w:rFonts w:ascii="Verdana" w:eastAsia="Times New Roman" w:hAnsi="Verdana" w:cs="Times New Roman"/>
          <w:color w:val="59A3C1"/>
          <w:sz w:val="27"/>
          <w:szCs w:val="27"/>
          <w:lang w:eastAsia="ru-RU"/>
        </w:rPr>
        <w:t>Классификация органических соединений</w:t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 как в состав всех органических соединений входят атомы углерода, то важнейшим признаком классификации органических веществ может служить порядок их соединения, т.е. строение.</w:t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Классификация органических соединений по наличию и порядку соединения атомов углерода в цепи:</w:t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Verdana" w:eastAsia="Times New Roman" w:hAnsi="Verdana" w:cs="Times New Roman"/>
          <w:noProof/>
          <w:color w:val="999999"/>
          <w:sz w:val="20"/>
          <w:szCs w:val="20"/>
          <w:lang w:eastAsia="ru-RU"/>
        </w:rPr>
        <w:drawing>
          <wp:inline distT="0" distB="0" distL="0" distR="0" wp14:anchorId="690D595E" wp14:editId="402A4C8E">
            <wp:extent cx="3112135" cy="3818255"/>
            <wp:effectExtent l="0" t="0" r="0" b="0"/>
            <wp:docPr id="1" name="Рисунок 1" descr="http://2.bp.blogspot.com/-kwqrMbUwkyc/UkMFuet75eI/AAAAAAAABgg/hDnzRZlXSR4/s400/11001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qrMbUwkyc/UkMFuet75eI/AAAAAAAABgg/hDnzRZlXSR4/s400/11001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 Классификация органических соединений по виду функциональных групп:</w:t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Verdana" w:eastAsia="Times New Roman" w:hAnsi="Verdana" w:cs="Times New Roman"/>
          <w:noProof/>
          <w:color w:val="999999"/>
          <w:sz w:val="20"/>
          <w:szCs w:val="20"/>
          <w:lang w:eastAsia="ru-RU"/>
        </w:rPr>
        <w:drawing>
          <wp:inline distT="0" distB="0" distL="0" distR="0" wp14:anchorId="2288E106" wp14:editId="782D6484">
            <wp:extent cx="2791460" cy="3818255"/>
            <wp:effectExtent l="0" t="0" r="8890" b="0"/>
            <wp:docPr id="2" name="Рисунок 2" descr="http://3.bp.blogspot.com/-_RCS4IQ85JY/UkMGG1vB6QI/AAAAAAAABgo/1xIK6dMqLvY/s400/110010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_RCS4IQ85JY/UkMGG1vB6QI/AAAAAAAABgo/1xIK6dMqLvY/s400/110010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или наличию кратной связи, на примере углеводородов:</w:t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Verdana" w:eastAsia="Times New Roman" w:hAnsi="Verdana" w:cs="Times New Roman"/>
          <w:noProof/>
          <w:color w:val="59A3C1"/>
          <w:sz w:val="20"/>
          <w:szCs w:val="20"/>
          <w:lang w:eastAsia="ru-RU"/>
        </w:rPr>
        <w:drawing>
          <wp:inline distT="0" distB="0" distL="0" distR="0" wp14:anchorId="49640244" wp14:editId="1CB7BE7A">
            <wp:extent cx="3048000" cy="1347470"/>
            <wp:effectExtent l="0" t="0" r="0" b="5080"/>
            <wp:docPr id="3" name="Рисунок 3" descr="http://2.bp.blogspot.com/-N_5VCxoGb18/UkMInITTyAI/AAAAAAAABg0/oBEe9XLWnnM/s320/11001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N_5VCxoGb18/UkMInITTyAI/AAAAAAAABg0/oBEe9XLWnnM/s320/11001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2E" w:rsidRPr="00F2792E" w:rsidRDefault="00F2792E" w:rsidP="00F2792E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Обратите внимание на </w:t>
      </w:r>
      <w:hyperlink r:id="rId11" w:tgtFrame="_blank" w:history="1">
        <w:r w:rsidRPr="00F2792E">
          <w:rPr>
            <w:rFonts w:ascii="Georgia" w:eastAsia="Times New Roman" w:hAnsi="Georgia" w:cs="Times New Roman"/>
            <w:color w:val="999999"/>
            <w:sz w:val="20"/>
            <w:szCs w:val="20"/>
            <w:lang w:eastAsia="ru-RU"/>
          </w:rPr>
          <w:t xml:space="preserve">название </w:t>
        </w:r>
        <w:proofErr w:type="spellStart"/>
        <w:r w:rsidRPr="00F2792E">
          <w:rPr>
            <w:rFonts w:ascii="Georgia" w:eastAsia="Times New Roman" w:hAnsi="Georgia" w:cs="Times New Roman"/>
            <w:color w:val="999999"/>
            <w:sz w:val="20"/>
            <w:szCs w:val="20"/>
            <w:lang w:eastAsia="ru-RU"/>
          </w:rPr>
          <w:t>алканов</w:t>
        </w:r>
        <w:proofErr w:type="spellEnd"/>
        <w:r w:rsidRPr="00F2792E">
          <w:rPr>
            <w:rFonts w:ascii="Georgia" w:eastAsia="Times New Roman" w:hAnsi="Georgia" w:cs="Times New Roman"/>
            <w:color w:val="999999"/>
            <w:sz w:val="20"/>
            <w:szCs w:val="20"/>
            <w:lang w:eastAsia="ru-RU"/>
          </w:rPr>
          <w:t xml:space="preserve"> и алкильных заместителей</w:t>
        </w:r>
      </w:hyperlink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а также на основы </w:t>
      </w:r>
      <w:hyperlink r:id="rId12" w:tgtFrame="_blank" w:history="1">
        <w:r w:rsidRPr="00F2792E">
          <w:rPr>
            <w:rFonts w:ascii="Georgia" w:eastAsia="Times New Roman" w:hAnsi="Georgia" w:cs="Times New Roman"/>
            <w:color w:val="999999"/>
            <w:sz w:val="20"/>
            <w:szCs w:val="20"/>
            <w:lang w:eastAsia="ru-RU"/>
          </w:rPr>
          <w:t>номенклатуры</w:t>
        </w:r>
      </w:hyperlink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органических соединений.</w:t>
      </w:r>
    </w:p>
    <w:p w:rsidR="00F2792E" w:rsidRPr="00F2792E" w:rsidRDefault="00F2792E" w:rsidP="00F2792E">
      <w:pPr>
        <w:shd w:val="clear" w:color="auto" w:fill="FFFFFF"/>
        <w:spacing w:after="180" w:line="384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92E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Желаю удачи!</w:t>
      </w:r>
      <w:r w:rsidRPr="00F27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Источник: учебник "Химия-10" </w:t>
      </w:r>
      <w:proofErr w:type="spellStart"/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О.С.Габриелян</w:t>
      </w:r>
      <w:proofErr w:type="spellEnd"/>
      <w:r w:rsidRPr="00F2792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Настольная книга учителя химии.</w:t>
      </w:r>
    </w:p>
    <w:p w:rsidR="00CB5DA8" w:rsidRPr="00CB5DA8" w:rsidRDefault="00CB5DA8" w:rsidP="00CB5DA8">
      <w:pPr>
        <w:shd w:val="clear" w:color="auto" w:fill="66CCC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Toc377063841"/>
      <w:r w:rsidRPr="00CB5DA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Классификация органических соединений</w:t>
      </w:r>
      <w:bookmarkEnd w:id="0"/>
    </w:p>
    <w:p w:rsidR="00CB5DA8" w:rsidRPr="00CB5DA8" w:rsidRDefault="00CB5DA8" w:rsidP="00CB5DA8">
      <w:pPr>
        <w:shd w:val="clear" w:color="auto" w:fill="66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многообразие органических соединений, основу их молекул составляют цепи и кольца, образованные из атомов углерода. Соединения, в состав которых входят только углерод и водород, называются </w:t>
      </w:r>
      <w:r w:rsidRPr="00CB5D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углеводородами</w:t>
      </w:r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часть валентностей углерода затрачивается на образование связей с соседними атомами углерода, а свободные валентности связывают углерод с водородом, кислородом, азотом, серой и, значительно реже, с другими атомами периодической системы. Очень часто такой «скелет» из атомов углерода сохраняется в результате химических превращений, претерпеваемых молекулой органического соединения, что значительно облегчает предсказание состава продуктов. Часто реакции ограничиваются заменой одного или нескольких атомов водорода на другой элемент или группу атомов (</w:t>
      </w:r>
      <w:proofErr w:type="gramStart"/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другому</w:t>
      </w:r>
      <w:proofErr w:type="gramEnd"/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называемой группировкой </w:t>
      </w:r>
      <w:proofErr w:type="spellStart"/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CB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функциональной</w:t>
      </w:r>
      <w:proofErr w:type="spellEnd"/>
      <w:r w:rsidRPr="00CB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группой</w:t>
      </w:r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результате чего получается органическое соединение другого класса. В зависимости от группировки, заменившей один из атомов водорода в молекуле органического соединения в результате реакции, различают классы органических соединений.</w:t>
      </w:r>
    </w:p>
    <w:p w:rsidR="00CB5DA8" w:rsidRPr="00CB5DA8" w:rsidRDefault="00CB5DA8" w:rsidP="00CB5DA8">
      <w:pPr>
        <w:shd w:val="clear" w:color="auto" w:fill="66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 результате реакции происходит замена одной функциональной группы на другую, при сохранении углеродного скелета. Однако известны и многочисленные реакции, сопровождающиеся изменением углеродного скелета молекулы.</w:t>
      </w:r>
    </w:p>
    <w:p w:rsidR="00CB5DA8" w:rsidRPr="00CB5DA8" w:rsidRDefault="00CB5DA8" w:rsidP="00CB5DA8">
      <w:pPr>
        <w:shd w:val="clear" w:color="auto" w:fill="66CCC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D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</w:t>
      </w:r>
    </w:p>
    <w:p w:rsidR="00CB5DA8" w:rsidRPr="00CB5DA8" w:rsidRDefault="00CB5DA8" w:rsidP="00CB5DA8">
      <w:pPr>
        <w:shd w:val="clear" w:color="auto" w:fill="66CC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D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Некоторые функциональные группы органических соединений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578"/>
        <w:gridCol w:w="1710"/>
        <w:gridCol w:w="1170"/>
        <w:gridCol w:w="2767"/>
      </w:tblGrid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Функциональная группа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Название группы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Класс соединений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Общая структура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Примеры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</w:t>
            </w:r>
            <w:proofErr w:type="spellStart"/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Cl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-F, -Br, -I</w:t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(-Х)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Галоген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Галогениды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val="en-US" w:eastAsia="ru-RU"/>
              </w:rPr>
              <w:t>R-X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7A679D" wp14:editId="5DE5E7C9">
                  <wp:extent cx="802005" cy="657860"/>
                  <wp:effectExtent l="0" t="0" r="0" b="0"/>
                  <wp:docPr id="4" name="Рисунок 4" descr="http://orgchem.tsu.ru/1stroenie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rgchem.tsu.ru/1stroenie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Бромбензол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1985AD" wp14:editId="642A34FC">
                  <wp:extent cx="978535" cy="176530"/>
                  <wp:effectExtent l="0" t="0" r="0" b="0"/>
                  <wp:docPr id="5" name="Рисунок 5" descr="http://orgchem.tsu.ru/1stroenie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rgchem.tsu.ru/1stroenie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Этенилхлори</w:t>
            </w:r>
            <w:proofErr w:type="gram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винилхлорид)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-ОН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Гидроксил (</w:t>
            </w: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окси</w:t>
            </w:r>
            <w:proofErr w:type="gram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идрокси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Спирты, фенолы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val="en-US" w:eastAsia="ru-RU"/>
              </w:rPr>
              <w:t>R-OH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16F3162" wp14:editId="21C62D3B">
                  <wp:extent cx="866140" cy="657860"/>
                  <wp:effectExtent l="0" t="0" r="0" b="0"/>
                  <wp:docPr id="6" name="Рисунок 6" descr="http://orgchem.tsu.ru/1stroenie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rgchem.tsu.ru/1stroenie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A8" w:rsidRPr="00CB5DA8" w:rsidRDefault="00CB5DA8" w:rsidP="00CB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CB60504" wp14:editId="4DEB4F28">
                  <wp:extent cx="593725" cy="176530"/>
                  <wp:effectExtent l="0" t="0" r="0" b="0"/>
                  <wp:docPr id="7" name="Рисунок 7" descr="http://orgchem.tsu.ru/1stroenie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rgchem.tsu.ru/1stroenie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Метанол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&gt;</w:t>
            </w: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С=О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Карбонил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Альдегиды, кетоны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4B0DE69" wp14:editId="10512848">
                  <wp:extent cx="689610" cy="529590"/>
                  <wp:effectExtent l="0" t="0" r="0" b="3810"/>
                  <wp:docPr id="8" name="Рисунок 8" descr="http://orgchem.tsu.ru/1stroenie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rgchem.tsu.ru/1stroenie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192E87E" wp14:editId="7BEDE231">
                  <wp:extent cx="914400" cy="529590"/>
                  <wp:effectExtent l="0" t="0" r="0" b="3810"/>
                  <wp:docPr id="9" name="Рисунок 9" descr="http://orgchem.tsu.ru/1stroenie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rgchem.tsu.ru/1stroenie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Пропанон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 (ацетон)</w:t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D3E764" wp14:editId="5560C956">
                  <wp:extent cx="834390" cy="529590"/>
                  <wp:effectExtent l="0" t="0" r="3810" b="3810"/>
                  <wp:docPr id="10" name="Рисунок 10" descr="http://orgchem.tsu.ru/1stroenie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rgchem.tsu.ru/1stroenie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Этанал</w:t>
            </w:r>
            <w:proofErr w:type="gram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ацетальдегид)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-СООН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Карбоксил (</w:t>
            </w: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карбокси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Карбоновые кислоты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B09A8E" wp14:editId="2425FCA6">
                  <wp:extent cx="721995" cy="529590"/>
                  <wp:effectExtent l="0" t="0" r="1905" b="3810"/>
                  <wp:docPr id="11" name="Рисунок 11" descr="http://orgchem.tsu.ru/1stroenie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rgchem.tsu.ru/1stroenie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C687B1" wp14:editId="7E508716">
                  <wp:extent cx="866140" cy="529590"/>
                  <wp:effectExtent l="0" t="0" r="0" b="3810"/>
                  <wp:docPr id="12" name="Рисунок 12" descr="http://orgchem.tsu.ru/1stroenie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rgchem.tsu.ru/1stroenie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Этановая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 кислота (уксусная кислота)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</w:t>
            </w:r>
            <w:r w:rsidRPr="00CB5DA8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Нитро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Нитросоединения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03F5BB" wp14:editId="1DF6FC20">
                  <wp:extent cx="641985" cy="706120"/>
                  <wp:effectExtent l="0" t="0" r="5715" b="0"/>
                  <wp:docPr id="13" name="Рисунок 13" descr="http://orgchem.tsu.ru/1stroenie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rgchem.tsu.ru/1stroenie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BC306D" wp14:editId="0A9AA97B">
                  <wp:extent cx="786130" cy="706120"/>
                  <wp:effectExtent l="0" t="0" r="0" b="0"/>
                  <wp:docPr id="14" name="Рисунок 14" descr="http://orgchem.tsu.ru/1stroenie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rgchem.tsu.ru/1stroenie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Нитрометан</w:t>
            </w:r>
            <w:proofErr w:type="spellEnd"/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-NH</w:t>
            </w:r>
            <w:r w:rsidRPr="00CB5DA8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Амино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Амины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1C1571" wp14:editId="196F7FB2">
                  <wp:extent cx="497205" cy="176530"/>
                  <wp:effectExtent l="0" t="0" r="0" b="0"/>
                  <wp:docPr id="15" name="Рисунок 15" descr="http://orgchem.tsu.ru/1stroenie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rgchem.tsu.ru/1stroenie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A26312" wp14:editId="16BF9810">
                  <wp:extent cx="641985" cy="176530"/>
                  <wp:effectExtent l="0" t="0" r="5715" b="0"/>
                  <wp:docPr id="16" name="Рисунок 16" descr="http://orgchem.tsu.ru/1stroenie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rgchem.tsu.ru/1stroenie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Аминомета</w:t>
            </w:r>
            <w:proofErr w:type="gram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метиламин)</w:t>
            </w:r>
          </w:p>
        </w:tc>
      </w:tr>
      <w:tr w:rsidR="00CB5DA8" w:rsidRPr="00CB5DA8" w:rsidTr="00CB5DA8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-CN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Циано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Нитрилы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7975223" wp14:editId="0336FCA2">
                  <wp:extent cx="448945" cy="160655"/>
                  <wp:effectExtent l="0" t="0" r="8255" b="0"/>
                  <wp:docPr id="17" name="Рисунок 17" descr="http://orgchem.tsu.ru/1stroenie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rgchem.tsu.ru/1stroenie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A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DC1631" wp14:editId="144C1FE8">
                  <wp:extent cx="593725" cy="176530"/>
                  <wp:effectExtent l="0" t="0" r="0" b="0"/>
                  <wp:docPr id="18" name="Рисунок 18" descr="http://orgchem.tsu.ru/1stroenie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rgchem.tsu.ru/1stroenie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A8" w:rsidRPr="00CB5DA8" w:rsidRDefault="00CB5DA8" w:rsidP="00CB5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Этаннитри</w:t>
            </w:r>
            <w:proofErr w:type="gramStart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ацетонитрил</w:t>
            </w:r>
            <w:proofErr w:type="spellEnd"/>
            <w:r w:rsidRPr="00CB5D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D30CC2" w:rsidRDefault="00CB5DA8">
      <w:bookmarkStart w:id="1" w:name="_GoBack"/>
      <w:bookmarkEnd w:id="1"/>
    </w:p>
    <w:sectPr w:rsidR="00D3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2E"/>
    <w:rsid w:val="00186D73"/>
    <w:rsid w:val="00CB5DA8"/>
    <w:rsid w:val="00DF6B23"/>
    <w:rsid w:val="00F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://3.bp.blogspot.com/-_RCS4IQ85JY/UkMGG1vB6QI/AAAAAAAABgo/1xIK6dMqLvY/s1600/1100104.gif" TargetMode="External"/><Relationship Id="rId12" Type="http://schemas.openxmlformats.org/officeDocument/2006/relationships/hyperlink" Target="http://diva106.blogspot.com/2012/10/nomenklaturf.html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iva106.blogspot.com/2011/09/blog-post_28.html" TargetMode="External"/><Relationship Id="rId24" Type="http://schemas.openxmlformats.org/officeDocument/2006/relationships/image" Target="media/image15.gif"/><Relationship Id="rId5" Type="http://schemas.openxmlformats.org/officeDocument/2006/relationships/hyperlink" Target="http://2.bp.blogspot.com/-kwqrMbUwkyc/UkMFuet75eI/AAAAAAAABgg/hDnzRZlXSR4/s1600/1100102.jpg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N_5VCxoGb18/UkMInITTyAI/AAAAAAAABg0/oBEe9XLWnnM/s1600/1100103.jp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Крупнова</dc:creator>
  <cp:lastModifiedBy>Ольга Ивановна Крупнова</cp:lastModifiedBy>
  <cp:revision>2</cp:revision>
  <dcterms:created xsi:type="dcterms:W3CDTF">2014-07-04T19:59:00Z</dcterms:created>
  <dcterms:modified xsi:type="dcterms:W3CDTF">2014-07-04T20:28:00Z</dcterms:modified>
</cp:coreProperties>
</file>